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909CF">
      <w:pPr>
        <w:keepNext w:val="0"/>
        <w:keepLines w:val="0"/>
        <w:pageBreakBefore w:val="0"/>
        <w:widowControl/>
        <w:pBdr>
          <w:bottom w:val="thinThickMediumGap" w:color="FF0000" w:sz="18" w:space="1"/>
        </w:pBdr>
        <w:tabs>
          <w:tab w:val="left" w:pos="7600"/>
        </w:tabs>
        <w:kinsoku w:val="0"/>
        <w:wordWrap/>
        <w:overflowPunct/>
        <w:topLinePunct w:val="0"/>
        <w:autoSpaceDE w:val="0"/>
        <w:autoSpaceDN w:val="0"/>
        <w:bidi w:val="0"/>
        <w:adjustRightInd/>
        <w:snapToGrid w:val="0"/>
        <w:spacing w:line="800" w:lineRule="exact"/>
        <w:jc w:val="center"/>
        <w:textAlignment w:val="baseline"/>
        <w:rPr>
          <w:rStyle w:val="8"/>
          <w:rFonts w:hint="eastAsia" w:ascii="方正小标宋简体" w:eastAsia="方正小标宋简体"/>
          <w:b/>
          <w:color w:val="FF0000"/>
          <w:w w:val="75"/>
          <w:sz w:val="68"/>
          <w:szCs w:val="68"/>
          <w:lang w:val="en-US" w:eastAsia="zh-CN"/>
        </w:rPr>
      </w:pPr>
      <w:r>
        <w:drawing>
          <wp:anchor distT="0" distB="0" distL="114300" distR="114300" simplePos="0" relativeHeight="251659264" behindDoc="1" locked="0" layoutInCell="1" allowOverlap="1">
            <wp:simplePos x="0" y="0"/>
            <wp:positionH relativeFrom="column">
              <wp:posOffset>-34290</wp:posOffset>
            </wp:positionH>
            <wp:positionV relativeFrom="paragraph">
              <wp:posOffset>-217805</wp:posOffset>
            </wp:positionV>
            <wp:extent cx="5737860" cy="964565"/>
            <wp:effectExtent l="0" t="0" r="15240" b="698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rcRect l="1083" t="4405"/>
                    <a:stretch>
                      <a:fillRect/>
                    </a:stretch>
                  </pic:blipFill>
                  <pic:spPr>
                    <a:xfrm>
                      <a:off x="0" y="0"/>
                      <a:ext cx="5737860" cy="964565"/>
                    </a:xfrm>
                    <a:prstGeom prst="rect">
                      <a:avLst/>
                    </a:prstGeom>
                    <a:noFill/>
                    <a:ln>
                      <a:noFill/>
                    </a:ln>
                  </pic:spPr>
                </pic:pic>
              </a:graphicData>
            </a:graphic>
          </wp:anchor>
        </w:drawing>
      </w:r>
    </w:p>
    <w:p w14:paraId="0E6B467C">
      <w:pPr>
        <w:keepNext w:val="0"/>
        <w:keepLines w:val="0"/>
        <w:pageBreakBefore w:val="0"/>
        <w:widowControl/>
        <w:pBdr>
          <w:bottom w:val="thinThickMediumGap" w:color="FF0000" w:sz="18" w:space="1"/>
        </w:pBdr>
        <w:tabs>
          <w:tab w:val="left" w:pos="7600"/>
        </w:tabs>
        <w:kinsoku w:val="0"/>
        <w:wordWrap/>
        <w:overflowPunct/>
        <w:topLinePunct w:val="0"/>
        <w:autoSpaceDE w:val="0"/>
        <w:autoSpaceDN w:val="0"/>
        <w:bidi w:val="0"/>
        <w:adjustRightInd/>
        <w:snapToGrid w:val="0"/>
        <w:spacing w:line="800" w:lineRule="exact"/>
        <w:jc w:val="center"/>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32"/>
          <w:szCs w:val="32"/>
          <w:lang w:val="en-US" w:eastAsia="zh-CN"/>
        </w:rPr>
        <w:t>衡科院</w:t>
      </w:r>
      <w:r>
        <w:rPr>
          <w:rFonts w:hint="eastAsia" w:ascii="方正仿宋_GB2312" w:hAnsi="方正仿宋_GB2312" w:eastAsia="方正仿宋_GB2312" w:cs="方正仿宋_GB2312"/>
          <w:sz w:val="32"/>
          <w:szCs w:val="32"/>
        </w:rPr>
        <w:t>团</w:t>
      </w:r>
      <w:r>
        <w:rPr>
          <w:rFonts w:hint="eastAsia" w:ascii="方正仿宋_GB2312" w:hAnsi="方正仿宋_GB2312" w:eastAsia="方正仿宋_GB2312" w:cs="方正仿宋_GB2312"/>
          <w:sz w:val="32"/>
          <w:szCs w:val="32"/>
          <w:lang w:eastAsia="zh-CN"/>
        </w:rPr>
        <w:t>发〔</w:t>
      </w: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cs="方正仿宋_GB2312"/>
          <w:sz w:val="32"/>
          <w:szCs w:val="32"/>
          <w:lang w:val="en-US" w:eastAsia="zh-CN"/>
        </w:rPr>
        <w:t>6</w:t>
      </w:r>
      <w:r>
        <w:rPr>
          <w:rFonts w:hint="eastAsia" w:ascii="方正仿宋_GB2312" w:hAnsi="方正仿宋_GB2312" w:eastAsia="方正仿宋_GB2312" w:cs="方正仿宋_GB2312"/>
          <w:sz w:val="32"/>
          <w:szCs w:val="32"/>
        </w:rPr>
        <w:t>号</w:t>
      </w:r>
    </w:p>
    <w:p w14:paraId="6DD8E9B2">
      <w:pPr>
        <w:spacing w:before="106" w:line="393" w:lineRule="exact"/>
        <w:jc w:val="both"/>
        <w:rPr>
          <w:rFonts w:ascii="微软雅黑" w:hAnsi="微软雅黑" w:eastAsia="微软雅黑" w:cs="微软雅黑"/>
          <w:color w:val="auto"/>
          <w:spacing w:val="-15"/>
          <w:w w:val="89"/>
          <w:position w:val="-2"/>
          <w:sz w:val="39"/>
          <w:szCs w:val="39"/>
        </w:rPr>
      </w:pPr>
    </w:p>
    <w:p w14:paraId="04C19CF4">
      <w:pPr>
        <w:spacing w:before="106" w:line="393" w:lineRule="exact"/>
        <w:jc w:val="both"/>
        <w:rPr>
          <w:rFonts w:ascii="微软雅黑" w:hAnsi="微软雅黑" w:eastAsia="微软雅黑" w:cs="微软雅黑"/>
          <w:color w:val="auto"/>
          <w:spacing w:val="-15"/>
          <w:w w:val="89"/>
          <w:position w:val="-2"/>
          <w:sz w:val="39"/>
          <w:szCs w:val="39"/>
        </w:rPr>
      </w:pPr>
    </w:p>
    <w:p w14:paraId="3D5DA1CD">
      <w:pPr>
        <w:adjustRightInd w:val="0"/>
        <w:snapToGrid w:val="0"/>
        <w:spacing w:line="660" w:lineRule="exact"/>
        <w:ind w:firstLine="356" w:firstLineChars="100"/>
        <w:jc w:val="center"/>
        <w:rPr>
          <w:rFonts w:hint="eastAsia" w:ascii="黑体" w:hAnsi="黑体" w:eastAsia="黑体" w:cs="黑体"/>
          <w:b/>
          <w:color w:val="000000" w:themeColor="text1"/>
          <w:sz w:val="36"/>
          <w:szCs w:val="36"/>
          <w14:textFill>
            <w14:solidFill>
              <w14:schemeClr w14:val="tx1"/>
            </w14:solidFill>
          </w14:textFill>
        </w:rPr>
      </w:pPr>
      <w:r>
        <w:rPr>
          <w:rFonts w:hint="eastAsia" w:ascii="黑体" w:hAnsi="黑体" w:eastAsia="黑体" w:cs="黑体"/>
          <w:b/>
          <w:color w:val="000000" w:themeColor="text1"/>
          <w:sz w:val="36"/>
          <w:szCs w:val="36"/>
          <w14:textFill>
            <w14:solidFill>
              <w14:schemeClr w14:val="tx1"/>
            </w14:solidFill>
          </w14:textFill>
        </w:rPr>
        <w:t>关于举办2025年“挑战杯”湖南省大学生课外学术科技作品竞赛校内选拔赛的通知</w:t>
      </w:r>
    </w:p>
    <w:p w14:paraId="4E298E6F">
      <w:pPr>
        <w:adjustRightInd w:val="0"/>
        <w:snapToGrid w:val="0"/>
        <w:spacing w:line="660" w:lineRule="exact"/>
        <w:ind w:firstLine="356" w:firstLineChars="100"/>
        <w:jc w:val="center"/>
        <w:rPr>
          <w:rFonts w:hint="eastAsia" w:ascii="黑体" w:hAnsi="黑体" w:eastAsia="黑体" w:cs="黑体"/>
          <w:b/>
          <w:color w:val="000000" w:themeColor="text1"/>
          <w:sz w:val="36"/>
          <w:szCs w:val="36"/>
          <w14:textFill>
            <w14:solidFill>
              <w14:schemeClr w14:val="tx1"/>
            </w14:solidFill>
          </w14:textFill>
        </w:rPr>
      </w:pPr>
    </w:p>
    <w:p w14:paraId="5D05D048">
      <w:pPr>
        <w:widowControl/>
        <w:spacing w:line="560" w:lineRule="exact"/>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各二级学院：</w:t>
      </w:r>
    </w:p>
    <w:p w14:paraId="799E09D6">
      <w:pPr>
        <w:spacing w:line="560" w:lineRule="exact"/>
        <w:ind w:firstLine="632" w:firstLineChars="200"/>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为深入贯彻落实党的二十大和二十届二中、三中全会精神，进一步引导和鼓励青年学生培养科学精神和科学态度，积极学习科学知识和科学方法，培养具有创新意识、实践能力和创业精神的卓越创新人才，积极备战2025年湖南省“挑战杯”大学生课外学术科技作品竞赛，经研究，决定举办2025年湖南省“挑战杯”大学生课外学术科技作品竞赛校内选拔赛，现将有关事项通知如下：</w:t>
      </w:r>
    </w:p>
    <w:p w14:paraId="7D83C82C">
      <w:pPr>
        <w:autoSpaceDE w:val="0"/>
        <w:autoSpaceDN w:val="0"/>
        <w:adjustRightInd w:val="0"/>
        <w:snapToGrid w:val="0"/>
        <w:spacing w:beforeLines="50" w:afterLines="50" w:line="560" w:lineRule="exact"/>
        <w:ind w:firstLine="632" w:firstLineChars="200"/>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一、竞赛组织机构</w:t>
      </w:r>
    </w:p>
    <w:p w14:paraId="05FB403C">
      <w:pPr>
        <w:spacing w:beforeLines="30" w:afterLines="30" w:line="560" w:lineRule="exact"/>
        <w:ind w:firstLine="632"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（一）领导小组</w:t>
      </w:r>
    </w:p>
    <w:p w14:paraId="2C1C9510">
      <w:pPr>
        <w:spacing w:line="560" w:lineRule="exact"/>
        <w:ind w:firstLine="632" w:firstLineChars="200"/>
        <w:rPr>
          <w:rFonts w:hint="default" w:ascii="方正仿宋_GB2312" w:hAnsi="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组  长：</w:t>
      </w:r>
      <w:r>
        <w:rPr>
          <w:rFonts w:hint="eastAsia" w:ascii="方正仿宋_GB2312" w:hAnsi="方正仿宋_GB2312" w:cs="方正仿宋_GB2312"/>
          <w:color w:val="000000" w:themeColor="text1"/>
          <w:sz w:val="32"/>
          <w:szCs w:val="32"/>
          <w:lang w:val="en-US" w:eastAsia="zh-CN"/>
          <w14:textFill>
            <w14:solidFill>
              <w14:schemeClr w14:val="tx1"/>
            </w14:solidFill>
          </w14:textFill>
        </w:rPr>
        <w:t>彭志忠</w:t>
      </w:r>
    </w:p>
    <w:p w14:paraId="2E22B45D">
      <w:pPr>
        <w:spacing w:line="560" w:lineRule="exact"/>
        <w:ind w:firstLine="632" w:firstLineChars="200"/>
        <w:rPr>
          <w:rFonts w:hint="default" w:ascii="方正仿宋_GB2312" w:hAnsi="方正仿宋_GB2312" w:eastAsia="方正仿宋_GB2312" w:cs="方正仿宋_GB2312"/>
          <w:color w:val="000000" w:themeColor="text1"/>
          <w:sz w:val="32"/>
          <w:szCs w:val="32"/>
          <w:lang w:val="en-US"/>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副组长：</w:t>
      </w:r>
      <w:r>
        <w:rPr>
          <w:rFonts w:hint="eastAsia" w:ascii="方正仿宋_GB2312" w:hAnsi="方正仿宋_GB2312" w:cs="方正仿宋_GB2312"/>
          <w:color w:val="000000" w:themeColor="text1"/>
          <w:sz w:val="32"/>
          <w:szCs w:val="32"/>
          <w:lang w:val="en-US" w:eastAsia="zh-CN"/>
          <w14:textFill>
            <w14:solidFill>
              <w14:schemeClr w14:val="tx1"/>
            </w14:solidFill>
          </w14:textFill>
        </w:rPr>
        <w:t>肖启梁、卢桂珍、王芳军</w:t>
      </w:r>
    </w:p>
    <w:p w14:paraId="20B03239">
      <w:pPr>
        <w:pStyle w:val="9"/>
        <w:spacing w:line="564" w:lineRule="exact"/>
        <w:ind w:firstLine="640"/>
        <w:rPr>
          <w:rFonts w:hint="default" w:ascii="方正仿宋_GB2312" w:hAnsi="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成</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员：</w:t>
      </w:r>
      <w:r>
        <w:rPr>
          <w:rFonts w:hint="eastAsia" w:ascii="方正仿宋_GB2312" w:hAnsi="方正仿宋_GB2312" w:cs="方正仿宋_GB2312"/>
          <w:color w:val="000000" w:themeColor="text1"/>
          <w:sz w:val="32"/>
          <w:szCs w:val="32"/>
          <w:lang w:val="en-US" w:eastAsia="zh-CN"/>
          <w14:textFill>
            <w14:solidFill>
              <w14:schemeClr w14:val="tx1"/>
            </w14:solidFill>
          </w14:textFill>
        </w:rPr>
        <w:t>肖建辉、徐胜关、柳玉红、唐俭、方军、曹召斌、闵小茹、黄湘园、陆慧佳、廖丹、罗宇、颜欣</w:t>
      </w:r>
    </w:p>
    <w:p w14:paraId="610351BC">
      <w:pPr>
        <w:spacing w:beforeLines="30" w:afterLines="30" w:line="560" w:lineRule="exact"/>
        <w:ind w:firstLine="632"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（二）评审委员会</w:t>
      </w:r>
    </w:p>
    <w:p w14:paraId="0F4D6B84">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由学校相关学科的专家组成。</w:t>
      </w:r>
    </w:p>
    <w:p w14:paraId="11066F7F">
      <w:pPr>
        <w:spacing w:beforeLines="30" w:afterLines="30" w:line="560" w:lineRule="exact"/>
        <w:ind w:firstLine="632"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（三）纪律与监督委员会</w:t>
      </w:r>
    </w:p>
    <w:p w14:paraId="1527C454">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由学校纪检和相关职能部门工作人员组成，对竞赛组织评审相关工作进行全程监督，对违反竞赛纪律的行为进行处理。</w:t>
      </w:r>
    </w:p>
    <w:p w14:paraId="1E7ABB23">
      <w:pPr>
        <w:spacing w:beforeLines="30" w:afterLines="30" w:line="560" w:lineRule="exact"/>
        <w:ind w:firstLine="632"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（四）竞赛秘书处</w:t>
      </w:r>
    </w:p>
    <w:p w14:paraId="36306C94">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由相关职能部门和各二级学院竞赛活动主要负责人组成，办公室设在校团委。</w:t>
      </w:r>
    </w:p>
    <w:p w14:paraId="4281DEE9">
      <w:pPr>
        <w:autoSpaceDE w:val="0"/>
        <w:autoSpaceDN w:val="0"/>
        <w:adjustRightInd w:val="0"/>
        <w:snapToGrid w:val="0"/>
        <w:spacing w:beforeLines="50" w:afterLines="50" w:line="560" w:lineRule="exact"/>
        <w:ind w:firstLine="632" w:firstLineChars="200"/>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二、参赛要求</w:t>
      </w:r>
    </w:p>
    <w:p w14:paraId="0C28E5D5">
      <w:pPr>
        <w:spacing w:beforeLines="30" w:afterLines="30" w:line="560" w:lineRule="exact"/>
        <w:ind w:firstLine="632"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（一）参赛对象</w:t>
      </w:r>
    </w:p>
    <w:p w14:paraId="721996E4">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凡我校2025年6月1日以前正式注册的全日制非成人教育的在校学生都可申报作品参赛。</w:t>
      </w:r>
    </w:p>
    <w:p w14:paraId="6ED08DEA">
      <w:pPr>
        <w:spacing w:beforeLines="30" w:afterLines="30" w:line="560" w:lineRule="exact"/>
        <w:ind w:firstLine="632"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（二）作品要求</w:t>
      </w:r>
    </w:p>
    <w:p w14:paraId="042A8AED">
      <w:pPr>
        <w:spacing w:line="560" w:lineRule="exact"/>
        <w:ind w:firstLine="632"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作品参赛资格：</w:t>
      </w:r>
    </w:p>
    <w:p w14:paraId="79EB2AF5">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申报参赛的作品必须是2025年6月1日前两年内完成的学生课外学术科技或者社会实践活动成果，可分为个人作品和集体作品。每件作品指导老师原则上不超过3名。</w:t>
      </w:r>
    </w:p>
    <w:p w14:paraId="63792464">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申报个人作品的，申报者必须承担申报作品60%以上的研究工作，作品鉴定证书、专利证书及发表的有关作品上的署名均应为第一作者，合作者必须是学生且不得超过2人。</w:t>
      </w:r>
    </w:p>
    <w:p w14:paraId="758702E7">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凡作者超过3人的项目或者不超过3人，但无法区分第一作者的项目，均须申报集体作品。集体作品的作者必须均为学生，原则上不超过8人。凡有合作者的个人作品或者集体作品，均按学历最高的作者划分至本专科生类进行评审。多个学院学生合作申报的项目，必须提前注明学生、学院信息，并将作品项目名称、参赛学生和指导教师等关键信息在学生所在学院进行公示五天后，将公示截图随作品一同报送。</w:t>
      </w:r>
    </w:p>
    <w:p w14:paraId="42961DA6">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14:paraId="78200B49">
      <w:pPr>
        <w:spacing w:beforeLines="30" w:afterLines="30" w:line="560" w:lineRule="exact"/>
        <w:ind w:firstLine="632"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（三）主体赛事</w:t>
      </w:r>
    </w:p>
    <w:p w14:paraId="05C7F683">
      <w:pPr>
        <w:spacing w:line="560" w:lineRule="exact"/>
        <w:ind w:firstLine="632"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1</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比赛内容</w:t>
      </w:r>
    </w:p>
    <w:p w14:paraId="5A5571A3">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申报参赛的作品分为自然科学类学术论文、哲学社会科学类社会调查报告、科技发明制作三类：</w:t>
      </w:r>
    </w:p>
    <w:p w14:paraId="1608BC64">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1）自然科学类学术论文。提交资料包括：申报书、作品（含学术论文+支撑材料，8000字以内），支撑材料可包括对论文的进一步阐释、已发表刊物论文页扫描件、影响因子证明、查新证明、检索证明、实验相关照片、图片、扫描件等。</w:t>
      </w:r>
    </w:p>
    <w:p w14:paraId="6E04F8D4">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2）哲学社会科学类社会调查报告和学术论文。围绕发展成就、文明文化、美丽中国、民生福祉、中国之治等5个组别形成社会调查报告，其中，“发展成就”可以着眼于构建高水平社会主义市场经济体制、建设现代化产业体系、全面推进乡村振兴、促进区域协调发展、推进高水平对外开放、科技自立自强等；“文明文化”可以着眼于强化社会主义意识形态、社会文明建设、文化事业和文化产业、文化传播等；“美丽中国”可以着眼于绿色低碳、污染防治、生物多样性保护、能源清洁利用等；“民生福祉”可以着眼于建设高质量教育体系、完善分配制度、促进就业、健全社会保障、推进健康中国建设、疫情防控等；“中国之治”可以着眼于全过程人民民主、全面依法治国、维护国家安全、完善社会治理等。提交资料包括：申报书、作品（含调研报告+支撑材料，调研报告15000字以内），支撑材料可包括被采用的为党政领导部门、企事业单位所做的各类发展规划、改革方案和咨询报告，同时附原件及采用单位使用证明的复印件和有关鉴定材料，调研过程的问卷、访谈记录、照片、发表的相关论文、相关单位（机构）的反馈、相关奖励证明等。</w:t>
      </w:r>
    </w:p>
    <w:p w14:paraId="1E271B4F">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3）科技发明制作。A类指科技含量较高、制作投入较大的作品；B类指投入较少，且为生产技术或者社会生活带来便利的小发明、小制作等。提交资料包括：申报书、作品（含研究报告+支撑材料），研究报告可图文并茂，要写出作品制作的目的意义、制作过程、结果、创新点、实际应用情况（或应用前景）、存在不足及下一步需要完善的工作，报告中需包括图表、曲线、试验数据、原理结构图、外观图或照片；支撑材料可包括获得的专利、软件著作权、奖项证书、鉴定证书、应用证书、应用证明及其他资质材料等。</w:t>
      </w:r>
    </w:p>
    <w:p w14:paraId="5B90871C">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4）参赛作品涉及下述内容时，必须由申报单位提供有关部门的证明材料，否则不予评审：动植物新品种的发现或培育，须有省级以上农科部门或科研院所开具的证明；对国家保护动植物的研究，须有省级以上林业部门开具的证明（证明该项研究的过程中未对所研究的动植物繁衍、生长产生不利的影响）；新药物的研究，须有卫生行政部门授权机构的鉴定证明；医疗器械的研究，须有卫生行政部门授权机构的鉴定证明；医疗卫生研究，须通过专家鉴定，并最好附上在公开发行的专业性杂志上发表过的文章；涉及燃气用具等与人民生命财产安全有关用具的研究，须有国家相应行政部门授权机构的认定证明。</w:t>
      </w:r>
    </w:p>
    <w:p w14:paraId="6ED73CA8">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（5）参赛类别参照第十五届“挑战杯”湖南省大学生课外学术科技作品竞赛章程进行设置，第十六届大赛类别信息若有变化，另行通知。</w:t>
      </w:r>
    </w:p>
    <w:p w14:paraId="15ECFA32">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2</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作品申报</w:t>
      </w:r>
    </w:p>
    <w:p w14:paraId="67C4DF25">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（1）参赛作品可分为个人和集体申报作品</w:t>
      </w:r>
    </w:p>
    <w:p w14:paraId="4D5B6608">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个人申报作品的，申报者必须承担作品60%以上的研究工作，作品鉴定证书、专利证书及发表的有关作品上的署名均为第一作者，合作者必须是学生且不得超过两人；凡作者超过三人的项目或作者不超过三人但无法区分第一作者的项目，均须申报集体作品。申报集体作品除填写集体作品名称外，还要注明一位同学为集体项目的代表，集体作者必须均是学生。</w:t>
      </w:r>
    </w:p>
    <w:p w14:paraId="71E3D9F0">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（2）组队要求</w:t>
      </w:r>
    </w:p>
    <w:p w14:paraId="269B4109">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校赛阶段，每个团队人数不可超过8人（一般由3-8人组成），每个项目不超过3名指导教师。省赛和国赛阶段，按照相应要求限定团队成员、指导教师数量。鼓励跨学院、跨专业组队，同时注重年级结构的合理安排。团队要主动与指导教师对接，要注重发挥指导教师在选题、调研方案制定、大纲拟定、作品撰写等方面的导引作用。参赛作品的指导教师原则上</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由</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学生自己联络。</w:t>
      </w:r>
    </w:p>
    <w:p w14:paraId="63CBACA9">
      <w:pPr>
        <w:spacing w:beforeLines="30" w:afterLines="30" w:line="560" w:lineRule="exact"/>
        <w:ind w:firstLine="632"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（四）作品申报要求</w:t>
      </w:r>
    </w:p>
    <w:p w14:paraId="38553179">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参赛作品须经作者本人或集体申报，每人以第一作者身份限报1件，每件作品需经学院审核确认（作品申报书见附件1）后上报。</w:t>
      </w:r>
    </w:p>
    <w:p w14:paraId="6AE4DE6D">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参赛作品须经过本单位进行资格及形式审查,初步评定后方可上报竞赛秘书处，竞赛秘书处将根据评审规则对参赛作品进行资格审查。</w:t>
      </w:r>
    </w:p>
    <w:p w14:paraId="79C6FE3E">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自然科学类学术论文、哲学社会科学类社会调查报告两类作品将以文本（若是外文，请附中文本）形式参赛，请以4号楷体字打印（A4纸），附于申报书后。学术论文字数在8000字以内，</w:t>
      </w:r>
    </w:p>
    <w:p w14:paraId="1131ABE0">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调查报告在15000字以内。科技发明制作类作品将以实物、模型展示，结合文本、图片、视频等说明的形式参赛。同一作品不得同时参加主体赛事自然科学类学术论文、哲学社会科学类调查报告、科技发明制作作品评比，往届报送过的作品不得重复报送。</w:t>
      </w:r>
    </w:p>
    <w:p w14:paraId="0B32E2FE">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参赛作品涉及下列内容时，须由申报者提供有关部门的证明材料，否则不予评审：动植物新品种的发现或培育，须有省级以上农科部门或科研院所开具证明；对国家保护动植物的研究，须有省级以上林业部门开具证明，证明该项研究的过程中未产生对所研究的动植物繁衍、生长不利的影响；新药物的研究须有卫生行政部门授权机构的鉴定证明；医疗卫生研究须通过专家鉴定，并最好附有在公开发行的专业性杂志上发表过的文章；涉及燃气用具等与人民生命财产安全有关用具的研究，须有国家相应行政部门授权机构的认定证明。</w:t>
      </w:r>
    </w:p>
    <w:p w14:paraId="53609747">
      <w:pPr>
        <w:spacing w:beforeLines="30" w:afterLines="30" w:line="560" w:lineRule="exact"/>
        <w:ind w:firstLine="632"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（六）评审规则</w:t>
      </w:r>
    </w:p>
    <w:p w14:paraId="4CB84A93">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评审过程中综合考虑作品的科学性、先进性、现实意义等方面因素。其中，自然科学类学术论文侧重考核基础学科学术探索的前沿性和学术性，哲学社会科学类社会调查报告侧重考核与经济社会发展热点难点问题的结合程度和前瞻意义，科技发明制作侧重考核作品的应用价值和转化前景。</w:t>
      </w:r>
    </w:p>
    <w:p w14:paraId="588580B5">
      <w:pPr>
        <w:spacing w:beforeLines="30" w:afterLines="30" w:line="560" w:lineRule="exact"/>
        <w:ind w:firstLine="632"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（七）作品自查</w:t>
      </w:r>
    </w:p>
    <w:p w14:paraId="0B45E381">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竞赛活动增加作品自查环节。申报单位签订承诺书（附件4），承诺作品符合竞赛活动申报作品的要求，接受竞赛组委会抽查。一旦发现不符合申报要求的作品，将取消参赛资格，该单位不得补报作品且单位总分为零。经核实有舞弊、抄袭、作假等的作品，将取消该单位参评集体奖项的资格。</w:t>
      </w:r>
    </w:p>
    <w:p w14:paraId="4A48FE43">
      <w:pPr>
        <w:autoSpaceDE w:val="0"/>
        <w:autoSpaceDN w:val="0"/>
        <w:adjustRightInd w:val="0"/>
        <w:snapToGrid w:val="0"/>
        <w:spacing w:beforeLines="50" w:afterLines="50" w:line="560" w:lineRule="exact"/>
        <w:ind w:firstLine="632" w:firstLineChars="200"/>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三、竞赛流程及时间安排</w:t>
      </w:r>
    </w:p>
    <w:p w14:paraId="4E392088">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（一）学院竞赛阶段</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（即日-2025年3月21日）</w:t>
      </w:r>
    </w:p>
    <w:p w14:paraId="4B6E7860">
      <w:pPr>
        <w:pStyle w:val="5"/>
        <w:widowControl w:val="0"/>
        <w:overflowPunct w:val="0"/>
        <w:spacing w:before="0" w:beforeAutospacing="0" w:after="0" w:afterAutospacing="0" w:line="560" w:lineRule="exact"/>
        <w:ind w:firstLine="632" w:firstLineChars="200"/>
        <w:jc w:val="both"/>
        <w:rPr>
          <w:rFonts w:hint="eastAsia" w:ascii="方正仿宋_GB2312" w:hAnsi="方正仿宋_GB2312" w:eastAsia="方正仿宋_GB2312" w:cs="方正仿宋_GB2312"/>
          <w:color w:val="000000" w:themeColor="text1"/>
          <w:kern w:val="2"/>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14:textFill>
            <w14:solidFill>
              <w14:schemeClr w14:val="tx1"/>
            </w14:solidFill>
          </w14:textFill>
        </w:rPr>
        <w:t>各学院成立专家小组，指导参赛同学准备项目材料，并对学生报送的竞赛项目进行初选和评审。学院初赛后，参照学院学生规模，向学校推报优秀项目。</w:t>
      </w:r>
    </w:p>
    <w:p w14:paraId="255E3315">
      <w:pPr>
        <w:pStyle w:val="5"/>
        <w:widowControl w:val="0"/>
        <w:overflowPunct w:val="0"/>
        <w:spacing w:before="0" w:beforeAutospacing="0" w:after="0" w:afterAutospacing="0" w:line="560" w:lineRule="exact"/>
        <w:ind w:firstLine="632" w:firstLineChars="200"/>
        <w:jc w:val="both"/>
        <w:rPr>
          <w:rFonts w:hint="eastAsia" w:ascii="方正仿宋_GB2312" w:hAnsi="方正仿宋_GB2312" w:eastAsia="方正仿宋_GB2312" w:cs="方正仿宋_GB2312"/>
          <w:color w:val="000000" w:themeColor="text1"/>
          <w:kern w:val="2"/>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14:textFill>
            <w14:solidFill>
              <w14:schemeClr w14:val="tx1"/>
            </w14:solidFill>
          </w14:textFill>
        </w:rPr>
        <w:t>（1）各二级学院推报</w:t>
      </w:r>
      <w:r>
        <w:rPr>
          <w:rFonts w:hint="eastAsia" w:ascii="方正仿宋_GB2312" w:hAnsi="方正仿宋_GB2312" w:cs="方正仿宋_GB2312"/>
          <w:color w:val="000000" w:themeColor="text1"/>
          <w:kern w:val="2"/>
          <w:sz w:val="32"/>
          <w:szCs w:val="32"/>
          <w:lang w:val="en-US" w:eastAsia="zh-CN"/>
          <w14:textFill>
            <w14:solidFill>
              <w14:schemeClr w14:val="tx1"/>
            </w14:solidFill>
          </w14:textFill>
        </w:rPr>
        <w:t>2-3</w:t>
      </w:r>
      <w:r>
        <w:rPr>
          <w:rFonts w:hint="eastAsia" w:ascii="方正仿宋_GB2312" w:hAnsi="方正仿宋_GB2312" w:eastAsia="方正仿宋_GB2312" w:cs="方正仿宋_GB2312"/>
          <w:color w:val="000000" w:themeColor="text1"/>
          <w:kern w:val="2"/>
          <w:sz w:val="32"/>
          <w:szCs w:val="32"/>
          <w14:textFill>
            <w14:solidFill>
              <w14:schemeClr w14:val="tx1"/>
            </w14:solidFill>
          </w14:textFill>
        </w:rPr>
        <w:t>个项目</w:t>
      </w:r>
      <w:r>
        <w:rPr>
          <w:rFonts w:hint="eastAsia" w:ascii="方正仿宋_GB2312" w:hAnsi="方正仿宋_GB2312" w:eastAsia="方正仿宋_GB2312" w:cs="方正仿宋_GB2312"/>
          <w:color w:val="000000" w:themeColor="text1"/>
          <w:kern w:val="2"/>
          <w:sz w:val="32"/>
          <w:szCs w:val="32"/>
          <w:lang w:eastAsia="zh-CN"/>
          <w14:textFill>
            <w14:solidFill>
              <w14:schemeClr w14:val="tx1"/>
            </w14:solidFill>
          </w14:textFill>
        </w:rPr>
        <w:t>。</w:t>
      </w:r>
    </w:p>
    <w:p w14:paraId="737CF449">
      <w:pPr>
        <w:pStyle w:val="5"/>
        <w:widowControl w:val="0"/>
        <w:overflowPunct w:val="0"/>
        <w:spacing w:before="0" w:beforeAutospacing="0" w:after="0" w:afterAutospacing="0" w:line="560" w:lineRule="exact"/>
        <w:ind w:firstLine="632" w:firstLineChars="200"/>
        <w:jc w:val="both"/>
        <w:rPr>
          <w:rFonts w:hint="eastAsia" w:ascii="方正仿宋_GB2312" w:hAnsi="方正仿宋_GB2312" w:eastAsia="方正仿宋_GB2312" w:cs="方正仿宋_GB2312"/>
          <w:color w:val="000000" w:themeColor="text1"/>
          <w:kern w:val="2"/>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14:textFill>
            <w14:solidFill>
              <w14:schemeClr w14:val="tx1"/>
            </w14:solidFill>
          </w14:textFill>
        </w:rPr>
        <w:t>（2）本届比赛开通“院长直推绿色通道”，特别优秀的项目可由学院院长直接推荐，不占用学院名额，择优推荐项目不超过2个（含2个）。</w:t>
      </w:r>
    </w:p>
    <w:p w14:paraId="6E8333D7">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（二）校赛作品申报</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cs="方正仿宋_GB2312"/>
          <w:color w:val="000000"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月上旬）</w:t>
      </w:r>
    </w:p>
    <w:p w14:paraId="13E8E61C">
      <w:pPr>
        <w:spacing w:line="560" w:lineRule="exact"/>
        <w:ind w:firstLine="632" w:firstLineChars="200"/>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竞赛评审分为作品文本评审、公开答辩</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二</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个环节，评审具体时间安排如下：</w:t>
      </w:r>
    </w:p>
    <w:p w14:paraId="2B95A510">
      <w:pPr>
        <w:spacing w:line="560" w:lineRule="exact"/>
        <w:ind w:firstLine="632"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1.文本初审环节</w:t>
      </w:r>
    </w:p>
    <w:p w14:paraId="0147FF2C">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时间：</w:t>
      </w:r>
      <w:r>
        <w:rPr>
          <w:rFonts w:hint="eastAsia" w:ascii="方正仿宋_GB2312" w:hAnsi="方正仿宋_GB2312" w:cs="方正仿宋_GB2312"/>
          <w:color w:val="000000"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w:t>
      </w:r>
      <w:r>
        <w:rPr>
          <w:rFonts w:hint="eastAsia" w:ascii="方正仿宋_GB2312" w:hAnsi="方正仿宋_GB2312" w:cs="方正仿宋_GB2312"/>
          <w:color w:val="000000" w:themeColor="text1"/>
          <w:sz w:val="32"/>
          <w:szCs w:val="32"/>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日</w:t>
      </w:r>
    </w:p>
    <w:p w14:paraId="4F3D9196">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形式：文本初审环节采取文本盲评形式进行，主要评审竞赛</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项目文本论证、作品支撑材料、维普软件查重结果报告（查重率低于30%）等内容。</w:t>
      </w:r>
      <w:r>
        <w:rPr>
          <w:rFonts w:hint="eastAsia" w:ascii="方正仿宋_GB2312" w:hAnsi="方正仿宋_GB2312" w:eastAsia="方正仿宋_GB2312" w:cs="方正仿宋_GB2312"/>
          <w:color w:val="000000" w:themeColor="text1"/>
          <w:sz w:val="32"/>
          <w:szCs w:val="32"/>
          <w14:textFill>
            <w14:solidFill>
              <w14:schemeClr w14:val="tx1"/>
            </w14:solidFill>
          </w14:textFill>
        </w:rPr>
        <w:t>选取一定数量的优秀作品晋级复赛。</w:t>
      </w:r>
    </w:p>
    <w:p w14:paraId="775A32D4">
      <w:pPr>
        <w:spacing w:line="560" w:lineRule="exact"/>
        <w:ind w:firstLine="632" w:firstLineChars="200"/>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作品上交方式</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以学院</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部门</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为单位将参赛作品汇总表一份</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见附件</w:t>
      </w:r>
      <w:r>
        <w:rPr>
          <w:rFonts w:hint="eastAsia" w:ascii="方正仿宋_GB2312" w:hAnsi="方正仿宋_GB2312" w:eastAsia="方正仿宋_GB2312" w:cs="方正仿宋_GB2312"/>
          <w:color w:val="000000" w:themeColor="text1"/>
          <w:sz w:val="32"/>
          <w:szCs w:val="32"/>
          <w14:textFill>
            <w14:solidFill>
              <w14:schemeClr w14:val="tx1"/>
            </w14:solidFill>
          </w14:textFill>
        </w:rPr>
        <w:t>2）</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、申报书和作品各</w:t>
      </w:r>
      <w:r>
        <w:rPr>
          <w:rFonts w:hint="eastAsia" w:ascii="方正仿宋_GB2312" w:hAnsi="方正仿宋_GB2312" w:eastAsia="方正仿宋_GB2312" w:cs="方正仿宋_GB2312"/>
          <w:color w:val="000000" w:themeColor="text1"/>
          <w:sz w:val="32"/>
          <w:szCs w:val="32"/>
          <w14:textFill>
            <w14:solidFill>
              <w14:schemeClr w14:val="tx1"/>
            </w14:solidFill>
          </w14:textFill>
        </w:rPr>
        <w:t>3</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份</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其中</w:t>
      </w:r>
      <w:r>
        <w:rPr>
          <w:rFonts w:hint="eastAsia" w:ascii="方正仿宋_GB2312" w:hAnsi="方正仿宋_GB2312" w:eastAsia="方正仿宋_GB2312" w:cs="方正仿宋_GB2312"/>
          <w:color w:val="000000" w:themeColor="text1"/>
          <w:sz w:val="32"/>
          <w:szCs w:val="32"/>
          <w14:textFill>
            <w14:solidFill>
              <w14:schemeClr w14:val="tx1"/>
            </w14:solidFill>
          </w14:textFill>
        </w:rPr>
        <w:t>2</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份为盲评材料</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需省去单位名称、指导老师名称和参赛人员名称及其他透露个人或单位的信息</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、承诺书等相关纸质材料于</w:t>
      </w:r>
      <w:r>
        <w:rPr>
          <w:rFonts w:hint="eastAsia" w:ascii="方正仿宋_GB2312" w:hAnsi="方正仿宋_GB2312" w:cs="方正仿宋_GB2312"/>
          <w:color w:val="000000"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月</w:t>
      </w:r>
      <w:r>
        <w:rPr>
          <w:rFonts w:hint="eastAsia" w:ascii="方正仿宋_GB2312" w:hAnsi="方正仿宋_GB2312" w:cs="方正仿宋_GB2312"/>
          <w:color w:val="000000" w:themeColor="text1"/>
          <w:sz w:val="32"/>
          <w:szCs w:val="32"/>
          <w:lang w:val="en-US" w:eastAsia="zh-CN"/>
          <w14:textFill>
            <w14:solidFill>
              <w14:schemeClr w14:val="tx1"/>
            </w14:solidFill>
          </w14:textFill>
        </w:rPr>
        <w:t>8</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日前交至校团委</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cs="方正仿宋_GB2312"/>
          <w:color w:val="000000" w:themeColor="text1"/>
          <w:sz w:val="32"/>
          <w:szCs w:val="32"/>
          <w:lang w:val="en-US" w:eastAsia="zh-CN"/>
          <w14:textFill>
            <w14:solidFill>
              <w14:schemeClr w14:val="tx1"/>
            </w14:solidFill>
          </w14:textFill>
        </w:rPr>
        <w:t>11栋101</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办公室</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电子文档</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汇总表</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word</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版、申报书</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word</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版、作品完整版和盲评版各一份</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word</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或</w:t>
      </w:r>
      <w:r>
        <w:rPr>
          <w:rFonts w:hint="eastAsia" w:ascii="方正仿宋_GB2312" w:hAnsi="方正仿宋_GB2312" w:eastAsia="方正仿宋_GB2312" w:cs="方正仿宋_GB2312"/>
          <w:color w:val="000000" w:themeColor="text1"/>
          <w:sz w:val="32"/>
          <w:szCs w:val="32"/>
          <w14:textFill>
            <w14:solidFill>
              <w14:schemeClr w14:val="tx1"/>
            </w14:solidFill>
          </w14:textFill>
        </w:rPr>
        <w:t>pdf</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版、承诺书盖</w:t>
      </w:r>
      <w:r>
        <w:rPr>
          <w:rFonts w:hint="eastAsia" w:ascii="方正仿宋_GB2312" w:hAnsi="方正仿宋_GB2312" w:eastAsia="方正仿宋_GB2312" w:cs="方正仿宋_GB2312"/>
          <w:color w:val="000000" w:themeColor="text1"/>
          <w:sz w:val="32"/>
          <w:szCs w:val="32"/>
          <w14:textFill>
            <w14:solidFill>
              <w14:schemeClr w14:val="tx1"/>
            </w14:solidFill>
          </w14:textFill>
        </w:rPr>
        <w:t>pdf</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版</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发送至</w:t>
      </w:r>
      <w:r>
        <w:rPr>
          <w:rFonts w:hint="eastAsia" w:ascii="方正仿宋_GB2312" w:hAnsi="方正仿宋_GB2312" w:cs="方正仿宋_GB2312"/>
          <w:color w:val="000000" w:themeColor="text1"/>
          <w:sz w:val="32"/>
          <w:szCs w:val="32"/>
          <w:lang w:val="en-US" w:eastAsia="zh-CN"/>
          <w14:textFill>
            <w14:solidFill>
              <w14:schemeClr w14:val="tx1"/>
            </w14:solidFill>
          </w14:textFill>
        </w:rPr>
        <w:t>601391311</w:t>
      </w:r>
      <w:r>
        <w:rPr>
          <w:rFonts w:hint="eastAsia" w:ascii="方正仿宋_GB2312" w:hAnsi="方正仿宋_GB2312" w:eastAsia="方正仿宋_GB2312" w:cs="方正仿宋_GB2312"/>
          <w:color w:val="000000" w:themeColor="text1"/>
          <w:sz w:val="32"/>
          <w:szCs w:val="32"/>
          <w14:textFill>
            <w14:solidFill>
              <w14:schemeClr w14:val="tx1"/>
            </w14:solidFill>
          </w14:textFill>
        </w:rPr>
        <w:t>@qq.com</w:t>
      </w:r>
      <w:r>
        <w:rPr>
          <w:rFonts w:hint="eastAsia" w:ascii="方正仿宋_GB2312" w:hAnsi="方正仿宋_GB2312" w:eastAsia="方正仿宋_GB2312" w:cs="方正仿宋_GB2312"/>
          <w:color w:val="000000" w:themeColor="text1"/>
          <w:sz w:val="32"/>
          <w:szCs w:val="32"/>
          <w:lang w:val="zh-CN"/>
          <w14:textFill>
            <w14:solidFill>
              <w14:schemeClr w14:val="tx1"/>
            </w14:solidFill>
          </w14:textFill>
        </w:rPr>
        <w:t>。申报书和作品要求分开装订。</w:t>
      </w:r>
    </w:p>
    <w:p w14:paraId="04FA3494">
      <w:pPr>
        <w:spacing w:line="560" w:lineRule="exact"/>
        <w:ind w:firstLine="632"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2.公开答辩环节</w:t>
      </w:r>
    </w:p>
    <w:p w14:paraId="7FCA4638">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时间：</w:t>
      </w:r>
      <w:r>
        <w:rPr>
          <w:rFonts w:hint="eastAsia" w:ascii="方正仿宋_GB2312" w:hAnsi="方正仿宋_GB2312" w:cs="方正仿宋_GB2312"/>
          <w:color w:val="000000"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月14日—15日（暂定）</w:t>
      </w:r>
    </w:p>
    <w:p w14:paraId="6E0E9A04">
      <w:pPr>
        <w:spacing w:line="560" w:lineRule="exact"/>
        <w:ind w:firstLine="632" w:firstLineChars="200"/>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地点：</w:t>
      </w:r>
      <w:r>
        <w:rPr>
          <w:rFonts w:hint="eastAsia" w:ascii="方正仿宋_GB2312" w:hAnsi="方正仿宋_GB2312" w:cs="方正仿宋_GB2312"/>
          <w:color w:val="000000" w:themeColor="text1"/>
          <w:sz w:val="32"/>
          <w:szCs w:val="32"/>
          <w:lang w:val="en-US" w:eastAsia="zh-CN"/>
          <w14:textFill>
            <w14:solidFill>
              <w14:schemeClr w14:val="tx1"/>
            </w14:solidFill>
          </w14:textFill>
        </w:rPr>
        <w:t>12栋A01会议室</w:t>
      </w:r>
    </w:p>
    <w:p w14:paraId="42C31B05">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形式：</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组织有关专家成立评审小组，选手按照“</w:t>
      </w:r>
      <w:r>
        <w:rPr>
          <w:rFonts w:hint="eastAsia" w:ascii="方正仿宋_GB2312" w:hAnsi="方正仿宋_GB2312" w:eastAsia="方正仿宋_GB2312" w:cs="方正仿宋_GB2312"/>
          <w:color w:val="000000" w:themeColor="text1"/>
          <w:sz w:val="32"/>
          <w:szCs w:val="32"/>
          <w14:textFill>
            <w14:solidFill>
              <w14:schemeClr w14:val="tx1"/>
            </w14:solidFill>
          </w14:textFill>
        </w:rPr>
        <w:t>5</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分钟</w:t>
      </w:r>
      <w:r>
        <w:rPr>
          <w:rFonts w:hint="eastAsia" w:ascii="方正仿宋_GB2312" w:hAnsi="方正仿宋_GB2312" w:eastAsia="方正仿宋_GB2312" w:cs="方正仿宋_GB2312"/>
          <w:color w:val="000000" w:themeColor="text1"/>
          <w:sz w:val="32"/>
          <w:szCs w:val="32"/>
          <w14:textFill>
            <w14:solidFill>
              <w14:schemeClr w14:val="tx1"/>
            </w14:solidFill>
          </w14:textFill>
        </w:rPr>
        <w:t>PPT</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汇报+</w:t>
      </w:r>
      <w:r>
        <w:rPr>
          <w:rFonts w:hint="eastAsia" w:ascii="方正仿宋_GB2312" w:hAnsi="方正仿宋_GB2312" w:eastAsia="方正仿宋_GB2312" w:cs="方正仿宋_GB2312"/>
          <w:color w:val="000000" w:themeColor="text1"/>
          <w:sz w:val="32"/>
          <w:szCs w:val="32"/>
          <w14:textFill>
            <w14:solidFill>
              <w14:schemeClr w14:val="tx1"/>
            </w14:solidFill>
          </w14:textFill>
        </w:rPr>
        <w:t>6</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分钟答辩及点评”的形式现场答辩，依得分排名作为最终成绩予以评奖，评选出优秀项目。</w:t>
      </w:r>
    </w:p>
    <w:p w14:paraId="1A5B5300">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（三）省赛报备</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cs="方正仿宋_GB2312"/>
          <w:color w:val="000000"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w:t>
      </w:r>
      <w:r>
        <w:rPr>
          <w:rFonts w:hint="eastAsia" w:ascii="方正仿宋_GB2312" w:hAnsi="方正仿宋_GB2312" w:cs="方正仿宋_GB2312"/>
          <w:color w:val="000000" w:themeColor="text1"/>
          <w:sz w:val="32"/>
          <w:szCs w:val="32"/>
          <w:lang w:val="en-US" w:eastAsia="zh-CN"/>
          <w14:textFill>
            <w14:solidFill>
              <w14:schemeClr w14:val="tx1"/>
            </w14:solidFill>
          </w14:textFill>
        </w:rPr>
        <w:t>25</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日前）</w:t>
      </w:r>
    </w:p>
    <w:p w14:paraId="60E43F68">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根据校赛评审结果，根据省赛要求选择若干作品进入“挑战杯”省赛优化，并报备参加省赛。</w:t>
      </w:r>
    </w:p>
    <w:p w14:paraId="213A5E78">
      <w:pPr>
        <w:autoSpaceDE w:val="0"/>
        <w:autoSpaceDN w:val="0"/>
        <w:adjustRightInd w:val="0"/>
        <w:snapToGrid w:val="0"/>
        <w:spacing w:beforeLines="50" w:afterLines="50" w:line="560" w:lineRule="exact"/>
        <w:ind w:firstLine="632" w:firstLineChars="200"/>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四、奖项设置</w:t>
      </w:r>
    </w:p>
    <w:p w14:paraId="4CFCECB2">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比赛按照三个类别（自然科学类学术论文、哲学社会科学类社会调查报告、科技发明制作分设一等奖一名、二等奖两名、三等奖三名和优秀指导老师奖。（注：优秀获奖作品按照国赛、省赛文件要求，参考评委专家的推荐意见参加省赛）</w:t>
      </w:r>
    </w:p>
    <w:p w14:paraId="05093FC0">
      <w:pPr>
        <w:autoSpaceDE w:val="0"/>
        <w:autoSpaceDN w:val="0"/>
        <w:adjustRightInd w:val="0"/>
        <w:snapToGrid w:val="0"/>
        <w:spacing w:beforeLines="50" w:afterLines="50" w:line="560" w:lineRule="exact"/>
        <w:ind w:firstLine="632" w:firstLineChars="200"/>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五、工作要求</w:t>
      </w:r>
    </w:p>
    <w:p w14:paraId="6CDE5FAF">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（一）高度重视，加强领导。</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“挑战杯”竞赛是为适应全面推进素质教育和深化教育改革要求开展的一项重要活动，是培养学生创新精神、提高学生科研能力的重要手段和促进良好校风学风建设、营造浓厚校园学术氛围的有效载体，</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各</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学院（部门）要高度重视该项活动，积极做好宣传发动和参赛的各项组织工作。</w:t>
      </w:r>
    </w:p>
    <w:p w14:paraId="68DD4C31">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（二）广泛宣传，扩大影响。</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各学院（部门）要对竞赛活动的宗旨和参赛内容进行积极的宣传，扩大竞赛活动的影响，使竞赛活动深入人心；要坚持竞赛活动的导向性、示范性和群众性原则，加强对学生进行科学知识、科学方法、科学思想、科学精神的教育，全面提高学生的创新能力。</w:t>
      </w:r>
    </w:p>
    <w:p w14:paraId="604B4BEB">
      <w:pPr>
        <w:spacing w:line="560" w:lineRule="exact"/>
        <w:ind w:firstLine="632"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（三）精心组织，夯实基础。</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各学院（部门）要充分调动学生的参与积极性，积极争取专家学者的支持和指导，充分整合资源，形成合力；要主动向参赛学生提供必要的物质和技术支持；要严格按照竞赛要求进行资格及形式审查，认真组织好本单位申报作品的选拔和评审工作，并以此为契机进一步夯实竞赛活动的群众基础，营造浓厚的校园科研学术氛围。</w:t>
      </w:r>
    </w:p>
    <w:p w14:paraId="2A576188">
      <w:pPr>
        <w:autoSpaceDE w:val="0"/>
        <w:autoSpaceDN w:val="0"/>
        <w:adjustRightInd w:val="0"/>
        <w:snapToGrid w:val="0"/>
        <w:spacing w:line="240" w:lineRule="exact"/>
        <w:ind w:firstLine="632" w:firstLineChars="200"/>
        <w:rPr>
          <w:rFonts w:hint="eastAsia" w:ascii="方正仿宋_GB2312" w:hAnsi="方正仿宋_GB2312" w:eastAsia="方正仿宋_GB2312" w:cs="方正仿宋_GB2312"/>
          <w:b/>
          <w:bCs/>
          <w:color w:val="000000"/>
          <w:kern w:val="0"/>
          <w:sz w:val="32"/>
          <w:szCs w:val="32"/>
        </w:rPr>
      </w:pPr>
    </w:p>
    <w:p w14:paraId="6472A799">
      <w:pPr>
        <w:autoSpaceDE w:val="0"/>
        <w:autoSpaceDN w:val="0"/>
        <w:adjustRightInd w:val="0"/>
        <w:snapToGrid w:val="0"/>
        <w:spacing w:line="240" w:lineRule="exact"/>
        <w:ind w:firstLine="632" w:firstLineChars="200"/>
        <w:rPr>
          <w:rFonts w:hint="eastAsia" w:ascii="方正仿宋_GB2312" w:hAnsi="方正仿宋_GB2312" w:eastAsia="方正仿宋_GB2312" w:cs="方正仿宋_GB2312"/>
          <w:b/>
          <w:bCs/>
          <w:color w:val="000000"/>
          <w:kern w:val="0"/>
          <w:sz w:val="32"/>
          <w:szCs w:val="32"/>
        </w:rPr>
      </w:pPr>
    </w:p>
    <w:p w14:paraId="7A1D35BA">
      <w:pPr>
        <w:autoSpaceDE w:val="0"/>
        <w:autoSpaceDN w:val="0"/>
        <w:adjustRightInd w:val="0"/>
        <w:snapToGrid w:val="0"/>
        <w:spacing w:line="240" w:lineRule="exact"/>
        <w:rPr>
          <w:rFonts w:hint="eastAsia" w:ascii="方正仿宋_GB2312" w:hAnsi="方正仿宋_GB2312" w:eastAsia="方正仿宋_GB2312" w:cs="方正仿宋_GB2312"/>
          <w:b/>
          <w:bCs/>
          <w:color w:val="000000"/>
          <w:kern w:val="0"/>
          <w:sz w:val="32"/>
          <w:szCs w:val="32"/>
        </w:rPr>
      </w:pPr>
    </w:p>
    <w:p w14:paraId="670B56A1">
      <w:pPr>
        <w:autoSpaceDE w:val="0"/>
        <w:autoSpaceDN w:val="0"/>
        <w:adjustRightInd w:val="0"/>
        <w:snapToGrid w:val="0"/>
        <w:spacing w:line="240" w:lineRule="exact"/>
        <w:ind w:firstLine="632" w:firstLineChars="200"/>
        <w:rPr>
          <w:rFonts w:hint="eastAsia" w:ascii="方正仿宋_GB2312" w:hAnsi="方正仿宋_GB2312" w:eastAsia="方正仿宋_GB2312" w:cs="方正仿宋_GB2312"/>
          <w:b/>
          <w:bCs/>
          <w:color w:val="000000"/>
          <w:kern w:val="0"/>
          <w:sz w:val="32"/>
          <w:szCs w:val="32"/>
        </w:rPr>
      </w:pPr>
    </w:p>
    <w:p w14:paraId="17B39DD3">
      <w:pPr>
        <w:autoSpaceDE w:val="0"/>
        <w:autoSpaceDN w:val="0"/>
        <w:adjustRightInd w:val="0"/>
        <w:snapToGrid w:val="0"/>
        <w:spacing w:line="520" w:lineRule="exact"/>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b/>
          <w:bCs/>
          <w:color w:val="000000"/>
          <w:kern w:val="0"/>
          <w:sz w:val="32"/>
          <w:szCs w:val="32"/>
        </w:rPr>
        <w:t>附件：</w:t>
      </w:r>
    </w:p>
    <w:p w14:paraId="398E9DD5">
      <w:pPr>
        <w:spacing w:line="460" w:lineRule="exact"/>
        <w:ind w:firstLine="536" w:firstLineChars="200"/>
        <w:rPr>
          <w:rFonts w:hint="eastAsia" w:ascii="方正仿宋_GB2312" w:hAnsi="方正仿宋_GB2312" w:eastAsia="方正仿宋_GB2312" w:cs="方正仿宋_GB2312"/>
          <w:color w:val="000000"/>
          <w:w w:val="85"/>
          <w:sz w:val="32"/>
          <w:szCs w:val="32"/>
        </w:rPr>
      </w:pPr>
      <w:r>
        <w:rPr>
          <w:rFonts w:hint="eastAsia" w:ascii="方正仿宋_GB2312" w:hAnsi="方正仿宋_GB2312" w:eastAsia="方正仿宋_GB2312" w:cs="方正仿宋_GB2312"/>
          <w:color w:val="000000"/>
          <w:w w:val="85"/>
          <w:sz w:val="32"/>
          <w:szCs w:val="32"/>
        </w:rPr>
        <w:t>1.《2025年“挑战杯”湖南省大学生课外学术科技作品竞赛</w:t>
      </w:r>
      <w:r>
        <w:rPr>
          <w:rFonts w:hint="eastAsia" w:ascii="方正仿宋_GB2312" w:hAnsi="方正仿宋_GB2312" w:cs="方正仿宋_GB2312"/>
          <w:color w:val="000000"/>
          <w:w w:val="85"/>
          <w:sz w:val="32"/>
          <w:szCs w:val="32"/>
          <w:lang w:eastAsia="zh-CN"/>
        </w:rPr>
        <w:t>衡阳科技职业学院</w:t>
      </w:r>
      <w:r>
        <w:rPr>
          <w:rFonts w:hint="eastAsia" w:ascii="方正仿宋_GB2312" w:hAnsi="方正仿宋_GB2312" w:eastAsia="方正仿宋_GB2312" w:cs="方正仿宋_GB2312"/>
          <w:color w:val="000000"/>
          <w:w w:val="85"/>
          <w:sz w:val="32"/>
          <w:szCs w:val="32"/>
        </w:rPr>
        <w:t>校内选拔赛作品申报书》</w:t>
      </w:r>
    </w:p>
    <w:p w14:paraId="304E18D9">
      <w:pPr>
        <w:spacing w:line="460" w:lineRule="exact"/>
        <w:ind w:firstLine="536" w:firstLineChars="200"/>
        <w:rPr>
          <w:rFonts w:hint="eastAsia" w:ascii="方正仿宋_GB2312" w:hAnsi="方正仿宋_GB2312" w:eastAsia="方正仿宋_GB2312" w:cs="方正仿宋_GB2312"/>
          <w:color w:val="000000"/>
          <w:w w:val="85"/>
          <w:sz w:val="32"/>
          <w:szCs w:val="32"/>
        </w:rPr>
      </w:pPr>
      <w:r>
        <w:rPr>
          <w:rFonts w:hint="eastAsia" w:ascii="方正仿宋_GB2312" w:hAnsi="方正仿宋_GB2312" w:eastAsia="方正仿宋_GB2312" w:cs="方正仿宋_GB2312"/>
          <w:color w:val="000000"/>
          <w:w w:val="85"/>
          <w:sz w:val="32"/>
          <w:szCs w:val="32"/>
        </w:rPr>
        <w:t>2.《2025年“挑战杯”湖南省大学生课外学术科技作品竞赛</w:t>
      </w:r>
      <w:r>
        <w:rPr>
          <w:rFonts w:hint="eastAsia" w:ascii="方正仿宋_GB2312" w:hAnsi="方正仿宋_GB2312" w:cs="方正仿宋_GB2312"/>
          <w:color w:val="000000"/>
          <w:w w:val="85"/>
          <w:sz w:val="32"/>
          <w:szCs w:val="32"/>
          <w:lang w:eastAsia="zh-CN"/>
        </w:rPr>
        <w:t>衡阳科技职业学院</w:t>
      </w:r>
      <w:r>
        <w:rPr>
          <w:rFonts w:hint="eastAsia" w:ascii="方正仿宋_GB2312" w:hAnsi="方正仿宋_GB2312" w:eastAsia="方正仿宋_GB2312" w:cs="方正仿宋_GB2312"/>
          <w:color w:val="000000"/>
          <w:w w:val="85"/>
          <w:sz w:val="32"/>
          <w:szCs w:val="32"/>
        </w:rPr>
        <w:t>校内选拔赛作品汇总表》</w:t>
      </w:r>
    </w:p>
    <w:p w14:paraId="2D130A0B">
      <w:pPr>
        <w:spacing w:line="460" w:lineRule="exact"/>
        <w:ind w:firstLine="536" w:firstLineChars="200"/>
        <w:rPr>
          <w:rFonts w:hint="eastAsia" w:ascii="方正仿宋_GB2312" w:hAnsi="方正仿宋_GB2312" w:eastAsia="方正仿宋_GB2312" w:cs="方正仿宋_GB2312"/>
          <w:color w:val="000000"/>
          <w:w w:val="85"/>
          <w:sz w:val="32"/>
          <w:szCs w:val="32"/>
        </w:rPr>
      </w:pPr>
      <w:r>
        <w:rPr>
          <w:rFonts w:hint="eastAsia" w:ascii="方正仿宋_GB2312" w:hAnsi="方正仿宋_GB2312" w:eastAsia="方正仿宋_GB2312" w:cs="方正仿宋_GB2312"/>
          <w:color w:val="000000"/>
          <w:w w:val="85"/>
          <w:sz w:val="32"/>
          <w:szCs w:val="32"/>
        </w:rPr>
        <w:t>3.《2025年“挑战杯”湖南省大学生课外学术科技作品竞赛</w:t>
      </w:r>
      <w:r>
        <w:rPr>
          <w:rFonts w:hint="eastAsia" w:ascii="方正仿宋_GB2312" w:hAnsi="方正仿宋_GB2312" w:cs="方正仿宋_GB2312"/>
          <w:color w:val="000000"/>
          <w:w w:val="85"/>
          <w:sz w:val="32"/>
          <w:szCs w:val="32"/>
          <w:lang w:eastAsia="zh-CN"/>
        </w:rPr>
        <w:t>衡阳科技职业学院</w:t>
      </w:r>
      <w:r>
        <w:rPr>
          <w:rFonts w:hint="eastAsia" w:ascii="方正仿宋_GB2312" w:hAnsi="方正仿宋_GB2312" w:eastAsia="方正仿宋_GB2312" w:cs="方正仿宋_GB2312"/>
          <w:color w:val="000000"/>
          <w:w w:val="85"/>
          <w:sz w:val="32"/>
          <w:szCs w:val="32"/>
        </w:rPr>
        <w:t>校内选拔赛作品申报书（盲评）》</w:t>
      </w:r>
    </w:p>
    <w:p w14:paraId="3154703C">
      <w:pPr>
        <w:spacing w:line="460" w:lineRule="exact"/>
        <w:ind w:firstLine="536" w:firstLineChars="200"/>
        <w:rPr>
          <w:rFonts w:hint="eastAsia" w:ascii="方正仿宋_GB2312" w:hAnsi="方正仿宋_GB2312" w:eastAsia="方正仿宋_GB2312" w:cs="方正仿宋_GB2312"/>
          <w:color w:val="000000"/>
          <w:w w:val="85"/>
          <w:sz w:val="32"/>
          <w:szCs w:val="32"/>
        </w:rPr>
      </w:pPr>
      <w:r>
        <w:rPr>
          <w:rFonts w:hint="eastAsia" w:ascii="方正仿宋_GB2312" w:hAnsi="方正仿宋_GB2312" w:eastAsia="方正仿宋_GB2312" w:cs="方正仿宋_GB2312"/>
          <w:color w:val="000000"/>
          <w:w w:val="85"/>
          <w:sz w:val="32"/>
          <w:szCs w:val="32"/>
        </w:rPr>
        <w:t>4.《2025年“挑战杯”湖南省大学生课外学术科技作品竞赛</w:t>
      </w:r>
      <w:r>
        <w:rPr>
          <w:rFonts w:hint="eastAsia" w:ascii="方正仿宋_GB2312" w:hAnsi="方正仿宋_GB2312" w:cs="方正仿宋_GB2312"/>
          <w:color w:val="000000"/>
          <w:w w:val="85"/>
          <w:sz w:val="32"/>
          <w:szCs w:val="32"/>
          <w:lang w:eastAsia="zh-CN"/>
        </w:rPr>
        <w:t>衡阳科技职业学院</w:t>
      </w:r>
      <w:r>
        <w:rPr>
          <w:rFonts w:hint="eastAsia" w:ascii="方正仿宋_GB2312" w:hAnsi="方正仿宋_GB2312" w:eastAsia="方正仿宋_GB2312" w:cs="方正仿宋_GB2312"/>
          <w:color w:val="000000"/>
          <w:w w:val="85"/>
          <w:sz w:val="32"/>
          <w:szCs w:val="32"/>
        </w:rPr>
        <w:t>校内选拔赛作品承诺书（个人）》</w:t>
      </w:r>
    </w:p>
    <w:p w14:paraId="2ABD9465">
      <w:pPr>
        <w:spacing w:line="460" w:lineRule="exact"/>
        <w:ind w:firstLine="536" w:firstLineChars="200"/>
        <w:rPr>
          <w:rFonts w:hint="eastAsia" w:ascii="方正仿宋_GB2312" w:hAnsi="方正仿宋_GB2312" w:eastAsia="方正仿宋_GB2312" w:cs="方正仿宋_GB2312"/>
          <w:color w:val="000000"/>
          <w:w w:val="85"/>
          <w:sz w:val="32"/>
          <w:szCs w:val="32"/>
        </w:rPr>
      </w:pPr>
      <w:r>
        <w:rPr>
          <w:rFonts w:hint="eastAsia" w:ascii="方正仿宋_GB2312" w:hAnsi="方正仿宋_GB2312" w:eastAsia="方正仿宋_GB2312" w:cs="方正仿宋_GB2312"/>
          <w:color w:val="000000"/>
          <w:w w:val="85"/>
          <w:sz w:val="32"/>
          <w:szCs w:val="32"/>
        </w:rPr>
        <w:t>5.第十五届“挑战杯”湖南省大学生课外学术科技作品竞赛章程和评审规则</w:t>
      </w:r>
    </w:p>
    <w:p w14:paraId="47410D16">
      <w:pPr>
        <w:spacing w:line="460" w:lineRule="exact"/>
        <w:rPr>
          <w:rFonts w:hint="eastAsia" w:ascii="方正仿宋_GB2312" w:hAnsi="方正仿宋_GB2312" w:eastAsia="方正仿宋_GB2312" w:cs="方正仿宋_GB2312"/>
          <w:color w:val="000000"/>
          <w:w w:val="85"/>
          <w:sz w:val="32"/>
          <w:szCs w:val="32"/>
        </w:rPr>
      </w:pPr>
    </w:p>
    <w:p w14:paraId="7B3CA37D">
      <w:pPr>
        <w:spacing w:line="460" w:lineRule="exact"/>
        <w:ind w:firstLine="536" w:firstLineChars="200"/>
        <w:rPr>
          <w:rFonts w:hint="eastAsia" w:ascii="方正仿宋_GB2312" w:hAnsi="方正仿宋_GB2312" w:eastAsia="方正仿宋_GB2312" w:cs="方正仿宋_GB2312"/>
          <w:color w:val="000000"/>
          <w:w w:val="85"/>
          <w:sz w:val="32"/>
          <w:szCs w:val="32"/>
        </w:rPr>
      </w:pPr>
    </w:p>
    <w:p w14:paraId="230F1E28">
      <w:pPr>
        <w:spacing w:line="460" w:lineRule="exact"/>
        <w:ind w:firstLine="536" w:firstLineChars="200"/>
        <w:rPr>
          <w:rFonts w:hint="eastAsia" w:ascii="方正仿宋_GB2312" w:hAnsi="方正仿宋_GB2312" w:eastAsia="方正仿宋_GB2312" w:cs="方正仿宋_GB2312"/>
          <w:color w:val="000000"/>
          <w:w w:val="85"/>
          <w:sz w:val="32"/>
          <w:szCs w:val="32"/>
        </w:rPr>
      </w:pPr>
      <w:bookmarkStart w:id="0" w:name="_GoBack"/>
      <w:bookmarkEnd w:id="0"/>
    </w:p>
    <w:p w14:paraId="18BBF8A7">
      <w:pPr>
        <w:adjustRightInd w:val="0"/>
        <w:snapToGrid w:val="0"/>
        <w:spacing w:line="480" w:lineRule="exact"/>
        <w:jc w:val="right"/>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cs="方正仿宋_GB2312"/>
          <w:color w:val="000000"/>
          <w:sz w:val="32"/>
          <w:szCs w:val="32"/>
          <w:lang w:val="en-US" w:eastAsia="zh-CN"/>
        </w:rPr>
        <w:t>共青团</w:t>
      </w:r>
      <w:r>
        <w:rPr>
          <w:rFonts w:hint="eastAsia" w:ascii="方正仿宋_GB2312" w:hAnsi="方正仿宋_GB2312" w:cs="方正仿宋_GB2312"/>
          <w:color w:val="000000"/>
          <w:sz w:val="32"/>
          <w:szCs w:val="32"/>
          <w:lang w:eastAsia="zh-CN"/>
        </w:rPr>
        <w:t>衡阳科技职业学院</w:t>
      </w:r>
      <w:r>
        <w:rPr>
          <w:rFonts w:hint="eastAsia" w:ascii="方正仿宋_GB2312" w:hAnsi="方正仿宋_GB2312" w:cs="方正仿宋_GB2312"/>
          <w:color w:val="000000"/>
          <w:sz w:val="32"/>
          <w:szCs w:val="32"/>
          <w:lang w:val="en-US" w:eastAsia="zh-CN"/>
        </w:rPr>
        <w:t>委员会</w:t>
      </w:r>
    </w:p>
    <w:p w14:paraId="3B2B020A">
      <w:pPr>
        <w:spacing w:line="460" w:lineRule="exact"/>
        <w:ind w:firstLine="536" w:firstLineChars="200"/>
        <w:jc w:val="center"/>
        <w:rPr>
          <w:rFonts w:hint="eastAsia" w:ascii="方正仿宋_GB2312" w:hAnsi="方正仿宋_GB2312" w:eastAsia="方正仿宋_GB2312" w:cs="方正仿宋_GB2312"/>
          <w:color w:val="000000"/>
          <w:w w:val="85"/>
          <w:sz w:val="32"/>
          <w:szCs w:val="32"/>
        </w:rPr>
      </w:pPr>
      <w:r>
        <w:rPr>
          <w:rFonts w:hint="eastAsia" w:ascii="方正仿宋_GB2312" w:hAnsi="方正仿宋_GB2312" w:eastAsia="方正仿宋_GB2312" w:cs="方正仿宋_GB2312"/>
          <w:color w:val="000000"/>
          <w:w w:val="85"/>
          <w:sz w:val="32"/>
          <w:szCs w:val="32"/>
          <w:lang w:val="en-US" w:eastAsia="zh-CN"/>
        </w:rPr>
        <w:t xml:space="preserve">                                 </w:t>
      </w:r>
      <w:r>
        <w:rPr>
          <w:rFonts w:hint="eastAsia" w:ascii="方正仿宋_GB2312" w:hAnsi="方正仿宋_GB2312" w:eastAsia="方正仿宋_GB2312" w:cs="方正仿宋_GB2312"/>
          <w:color w:val="000000"/>
          <w:w w:val="85"/>
          <w:sz w:val="32"/>
          <w:szCs w:val="32"/>
        </w:rPr>
        <w:t>2025年</w:t>
      </w:r>
      <w:r>
        <w:rPr>
          <w:rFonts w:hint="eastAsia" w:ascii="方正仿宋_GB2312" w:hAnsi="方正仿宋_GB2312" w:cs="方正仿宋_GB2312"/>
          <w:color w:val="000000"/>
          <w:w w:val="85"/>
          <w:sz w:val="32"/>
          <w:szCs w:val="32"/>
          <w:lang w:val="en-US" w:eastAsia="zh-CN"/>
        </w:rPr>
        <w:t>4</w:t>
      </w:r>
      <w:r>
        <w:rPr>
          <w:rFonts w:hint="eastAsia" w:ascii="方正仿宋_GB2312" w:hAnsi="方正仿宋_GB2312" w:eastAsia="方正仿宋_GB2312" w:cs="方正仿宋_GB2312"/>
          <w:color w:val="000000"/>
          <w:w w:val="85"/>
          <w:sz w:val="32"/>
          <w:szCs w:val="32"/>
        </w:rPr>
        <w:t>月</w:t>
      </w:r>
      <w:r>
        <w:rPr>
          <w:rFonts w:hint="eastAsia" w:ascii="方正仿宋_GB2312" w:hAnsi="方正仿宋_GB2312" w:cs="方正仿宋_GB2312"/>
          <w:color w:val="000000"/>
          <w:w w:val="85"/>
          <w:sz w:val="32"/>
          <w:szCs w:val="32"/>
          <w:lang w:val="en-US" w:eastAsia="zh-CN"/>
        </w:rPr>
        <w:t>16</w:t>
      </w:r>
      <w:r>
        <w:rPr>
          <w:rFonts w:hint="eastAsia" w:ascii="方正仿宋_GB2312" w:hAnsi="方正仿宋_GB2312" w:eastAsia="方正仿宋_GB2312" w:cs="方正仿宋_GB2312"/>
          <w:color w:val="000000"/>
          <w:w w:val="85"/>
          <w:sz w:val="32"/>
          <w:szCs w:val="32"/>
        </w:rPr>
        <w:t>日</w:t>
      </w:r>
    </w:p>
    <w:p w14:paraId="4F6A0CE3">
      <w:pPr>
        <w:pStyle w:val="2"/>
        <w:spacing w:line="520" w:lineRule="exact"/>
        <w:jc w:val="both"/>
        <w:rPr>
          <w:rFonts w:hint="eastAsia" w:ascii="方正仿宋_GB2312" w:hAnsi="方正仿宋_GB2312" w:eastAsia="方正仿宋_GB2312" w:cs="方正仿宋_GB2312"/>
          <w:color w:val="000000"/>
          <w:sz w:val="32"/>
          <w:szCs w:val="32"/>
        </w:rPr>
      </w:pPr>
    </w:p>
    <w:p w14:paraId="040EF615"/>
    <w:sectPr>
      <w:footerReference r:id="rId3" w:type="default"/>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62A277-B1A2-4294-A1A9-0513E54377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077E025-BF10-44ED-8E6D-C01BB672E54D}"/>
  </w:font>
  <w:font w:name="方正仿宋_GB2312">
    <w:panose1 w:val="02000000000000000000"/>
    <w:charset w:val="86"/>
    <w:family w:val="auto"/>
    <w:pitch w:val="default"/>
    <w:sig w:usb0="A00002BF" w:usb1="184F6CFA" w:usb2="00000012" w:usb3="00000000" w:csb0="00040001" w:csb1="00000000"/>
    <w:embedRegular r:id="rId3" w:fontKey="{676493CE-2BAE-4E43-8188-BFA5E45C92EC}"/>
  </w:font>
  <w:font w:name="方正小标宋简体">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4" w:fontKey="{5C227223-5D49-46F2-A369-5AACBF4B8A95}"/>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CAF5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813F8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2813F8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B0FEE"/>
    <w:rsid w:val="0BE314C8"/>
    <w:rsid w:val="6632042C"/>
    <w:rsid w:val="75352286"/>
    <w:rsid w:val="7C550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Ascii" w:hAnsiTheme="minorAscii"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paragraph" w:styleId="3">
    <w:name w:val="endnote text"/>
    <w:basedOn w:val="1"/>
    <w:qFormat/>
    <w:uiPriority w:val="0"/>
    <w:pPr>
      <w:snapToGrid w:val="0"/>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NormalCharacter"/>
    <w:qFormat/>
    <w:uiPriority w:val="0"/>
    <w:rPr>
      <w:rFonts w:ascii="Calibri" w:hAnsi="Calibri" w:eastAsia="宋体" w:cs="Times New Roman"/>
      <w:spacing w:val="-10"/>
      <w:kern w:val="2"/>
      <w:sz w:val="21"/>
      <w:szCs w:val="24"/>
      <w:lang w:val="en-US" w:eastAsia="zh-CN" w:bidi="ar-SA"/>
    </w:rPr>
  </w:style>
  <w:style w:type="paragraph" w:customStyle="1" w:styleId="9">
    <w:name w:val="Body text|1"/>
    <w:basedOn w:val="1"/>
    <w:qFormat/>
    <w:uiPriority w:val="0"/>
    <w:pPr>
      <w:spacing w:line="418" w:lineRule="auto"/>
      <w:ind w:firstLine="400"/>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4683</Words>
  <Characters>4797</Characters>
  <Lines>0</Lines>
  <Paragraphs>0</Paragraphs>
  <TotalTime>24</TotalTime>
  <ScaleCrop>false</ScaleCrop>
  <LinksUpToDate>false</LinksUpToDate>
  <CharactersWithSpaces>4834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2025-03-31T02:23:00Z</dcterms:created>
  <dc:creator>AOC</dc:creator>
  <cp:lastModifiedBy>妈妈说名字长的人比较帅</cp:lastModifiedBy>
  <dcterms:modified xsi:type="dcterms:W3CDTF">2025-04-16T12:57:21Z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eyJoZGlkIjoiY2ZjZjRhY2NkODQzZTEzMTA4MDE4ZjEzYTFkNGJmMmUiLCJ1c2VySWQiOiIyMjk3NDY0OTAifQ==</vt:lpwstr>
  </property>
  <property fmtid="{D5CDD505-2E9C-101B-9397-08002B2CF9AE}" pid="4" name="ICV">
    <vt:lpwstr>CF60E20EC6F14CACBF714059CE94C85E_13</vt:lpwstr>
  </property>
</Properties>
</file>