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1A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5257E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2A8B5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14EDB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65D5F11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4A29DA6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37E4786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71B712B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352B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D611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7929E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1872D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00383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4F4A0B38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6FF52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767DE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4CE97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5DEDC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24BC63C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7D9D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13AB5F7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26AED03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0893E4D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314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38882E6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6E0CF53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311B9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006F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2B79910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458EFAC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0BF30509">
            <w:pPr>
              <w:jc w:val="center"/>
              <w:rPr>
                <w:sz w:val="28"/>
                <w:szCs w:val="28"/>
              </w:rPr>
            </w:pPr>
          </w:p>
        </w:tc>
      </w:tr>
      <w:tr w14:paraId="09D2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38AD7F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3D3A355F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69D93DFE">
            <w:pPr>
              <w:jc w:val="center"/>
              <w:rPr>
                <w:sz w:val="28"/>
                <w:szCs w:val="28"/>
              </w:rPr>
            </w:pPr>
          </w:p>
        </w:tc>
      </w:tr>
      <w:tr w14:paraId="3D35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112C388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70A935FB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0B5C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7655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2912A26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3C7DD91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1EBFDB9A">
            <w:pPr>
              <w:jc w:val="center"/>
              <w:rPr>
                <w:sz w:val="28"/>
                <w:szCs w:val="28"/>
              </w:rPr>
            </w:pPr>
          </w:p>
        </w:tc>
      </w:tr>
      <w:tr w14:paraId="20DB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5F0C44C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3522ED7F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6F80B5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0802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27C722A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5C677C9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E11F0C8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EDD4A25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6D2FD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460B9411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br w:type="page"/>
      </w:r>
    </w:p>
    <w:p w14:paraId="7CFA7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4DB2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2724E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5FC02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60B43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1E71E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6AEF07F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5EF69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148FFA6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750F5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324F9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18ECC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02286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46445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26AEB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4397F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6D3AB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699B1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32414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039C3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60D7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3E7DB0E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079F51C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699319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6629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BB3E0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02B6E7B1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787B0AA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0203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8CC00B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0AE25C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8E679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94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D6D3D0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560A785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0B768A53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507C17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13A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1E173DA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2726413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6109C80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396E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155768B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56282D3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C8ECB2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21C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B9E352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5CD3DBDB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8A44B0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064A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2C55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655B18B7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cs="仿宋_GB2312"/>
        </w:rPr>
      </w:pPr>
      <w:r>
        <w:rPr>
          <w:rFonts w:hint="eastAsia" w:cs="仿宋_GB2312"/>
        </w:rPr>
        <w:br w:type="page"/>
      </w:r>
    </w:p>
    <w:p w14:paraId="2A45DD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3E36FD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210"/>
        <w:jc w:val="left"/>
        <w:textAlignment w:val="auto"/>
        <w:rPr>
          <w:rFonts w:ascii="仿宋_GB2312" w:cs="仿宋_GB2312"/>
          <w:szCs w:val="32"/>
        </w:rPr>
      </w:pPr>
    </w:p>
    <w:p w14:paraId="5BA45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 w14:paraId="6D27B1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</w:p>
    <w:p w14:paraId="5EB4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szCs w:val="32"/>
        </w:rPr>
      </w:pPr>
    </w:p>
    <w:p w14:paraId="0ED731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一、比赛内容</w:t>
      </w:r>
    </w:p>
    <w:p w14:paraId="7DEB5E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cs="仿宋_GB231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327A12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二、参赛组别和对象</w:t>
      </w:r>
    </w:p>
    <w:p w14:paraId="3ACA36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（一）参赛组别：</w:t>
      </w:r>
      <w:r>
        <w:rPr>
          <w:rFonts w:hint="eastAsia" w:cs="仿宋_GB2312"/>
          <w:szCs w:val="32"/>
        </w:rPr>
        <w:t>设高教组和职教组，高教组面向普通本科院校，职教组面向职教本科和高职（专科）院校。</w:t>
      </w:r>
    </w:p>
    <w:p w14:paraId="20A242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（二）参赛对象：</w:t>
      </w:r>
      <w:r>
        <w:rPr>
          <w:rFonts w:hint="eastAsia" w:cs="仿宋_GB231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hint="eastAsia" w:cs="仿宋_GB2312"/>
          <w:szCs w:val="32"/>
        </w:rPr>
        <w:t>课程近3年开设至少2轮。</w:t>
      </w:r>
    </w:p>
    <w:p w14:paraId="3BA24B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三、赛程安排</w:t>
      </w:r>
    </w:p>
    <w:p w14:paraId="778B26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</w:t>
      </w:r>
      <w:r>
        <w:rPr>
          <w:rFonts w:eastAsia="楷体_GB2312"/>
          <w:szCs w:val="32"/>
        </w:rPr>
        <w:t>省赛选拔（2025年10月—1</w:t>
      </w:r>
      <w:r>
        <w:rPr>
          <w:rFonts w:hint="eastAsia" w:eastAsia="楷体_GB2312"/>
          <w:szCs w:val="32"/>
        </w:rPr>
        <w:t>1</w:t>
      </w:r>
      <w:r>
        <w:rPr>
          <w:rFonts w:eastAsia="楷体_GB2312"/>
          <w:szCs w:val="32"/>
        </w:rPr>
        <w:t>月）</w:t>
      </w:r>
    </w:p>
    <w:p w14:paraId="421617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省赛由各地负责组织，参照本赛道方案自主确定高校参赛名额、比赛环节、评审方式和奖项设置等。推荐课程要注重优中选优、兼顾高校类型。鼓励各地同期开展教师教育培训、课程研讨等交流活动。</w:t>
      </w:r>
    </w:p>
    <w:p w14:paraId="67386C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月10日前完成全国总决赛参赛课程和选手推荐工作。</w:t>
      </w:r>
    </w:p>
    <w:p w14:paraId="183274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（二）全国总决赛（</w:t>
      </w:r>
      <w:r>
        <w:rPr>
          <w:rFonts w:eastAsia="楷体_GB2312"/>
          <w:szCs w:val="32"/>
        </w:rPr>
        <w:t>2026年</w:t>
      </w:r>
      <w:r>
        <w:rPr>
          <w:rFonts w:hint="eastAsia"/>
          <w:szCs w:val="32"/>
        </w:rPr>
        <w:t>1</w:t>
      </w:r>
      <w:r>
        <w:rPr>
          <w:rFonts w:hint="eastAsia" w:ascii="楷体_GB2312" w:hAnsi="楷体_GB2312" w:eastAsia="楷体_GB2312" w:cs="楷体_GB2312"/>
          <w:szCs w:val="32"/>
        </w:rPr>
        <w:t>月）</w:t>
      </w:r>
    </w:p>
    <w:p w14:paraId="7328EC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1. 网络评审（</w:t>
      </w:r>
      <w:r>
        <w:rPr>
          <w:szCs w:val="32"/>
        </w:rPr>
        <w:t>1</w:t>
      </w:r>
      <w:r>
        <w:rPr>
          <w:rFonts w:hint="eastAsia"/>
          <w:szCs w:val="32"/>
        </w:rPr>
        <w:t>2月）：大赛组委会将组织专家对参赛课程材料进行评审，约100人晋级现场比赛。</w:t>
      </w:r>
    </w:p>
    <w:p w14:paraId="15F0BF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2. 现场比赛（1月）：选手现场进行课程建设情况汇报、教学展示、互动答辩三个环节的比赛。</w:t>
      </w:r>
    </w:p>
    <w:p w14:paraId="696AED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四、参赛材料要求</w:t>
      </w:r>
    </w:p>
    <w:p w14:paraId="28AF48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（一）课程教学赛道参赛申报表。包括课程概述、课程目标、课程团队、特色创新点等方面内容。</w:t>
      </w:r>
    </w:p>
    <w:p w14:paraId="0F471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（二）课程支撑材料。包括课程教案、评教结果及其他证明材料（合并成单个PDF格式文件，不超过30MB）。</w:t>
      </w:r>
    </w:p>
    <w:p w14:paraId="69A4E1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 w14:paraId="4501E4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2EDBE2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请在全国大学生职业规划大赛官网（网址：zgs.chsi.com.cn）下载课程教学赛道参赛申报表、课程支撑材料一览表等材料。</w:t>
      </w:r>
    </w:p>
    <w:p w14:paraId="2F3181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五、现场比赛环节</w:t>
      </w:r>
    </w:p>
    <w:p w14:paraId="355E9C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（一）课程建设情况汇报</w:t>
      </w:r>
      <w:r>
        <w:rPr>
          <w:rFonts w:hint="eastAsia"/>
          <w:szCs w:val="32"/>
        </w:rPr>
        <w:t>（6分钟）。选手展示课程创新探索、实施情况、成效体现等。</w:t>
      </w:r>
    </w:p>
    <w:p w14:paraId="2A74C9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分钟）。选手提供5个教学节段，现场随机抽取1个进行无生授课模式讲授。</w:t>
      </w:r>
    </w:p>
    <w:p w14:paraId="33938D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14:paraId="11A1BD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六、评审标准</w:t>
      </w:r>
    </w:p>
    <w:p w14:paraId="419D4C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2645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5B4B8E6B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hint="eastAsia" w:eastAsia="黑体"/>
                <w:szCs w:val="32"/>
              </w:rPr>
              <w:t>网络评审</w:t>
            </w:r>
          </w:p>
        </w:tc>
      </w:tr>
      <w:tr w14:paraId="34FE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6A7812D6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4F3D9249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30D054E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1326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1726C6FE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 w14:paraId="020047CB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324E29E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6BAD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3A5482D0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2C19CDB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282B0700">
            <w:pPr>
              <w:jc w:val="center"/>
              <w:rPr>
                <w:sz w:val="26"/>
                <w:szCs w:val="26"/>
              </w:rPr>
            </w:pPr>
          </w:p>
        </w:tc>
      </w:tr>
      <w:tr w14:paraId="2262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62205692">
            <w:r>
              <w:rPr>
                <w:rFonts w:hint="eastAsia" w:eastAsia="楷体_GB2312"/>
                <w:sz w:val="26"/>
                <w:szCs w:val="26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6C5F587C">
            <w:pPr>
              <w:rPr>
                <w:rFonts w:ascii="仿宋_GB2312" w:hAnsi="仿宋_GB2312" w:eastAsia="楷体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658D5563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078C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48C75BBF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38E3B70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056A39B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5899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164A3E8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7B729B1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78E6D5C9">
            <w:pPr>
              <w:jc w:val="center"/>
              <w:rPr>
                <w:sz w:val="26"/>
                <w:szCs w:val="26"/>
              </w:rPr>
            </w:pPr>
          </w:p>
        </w:tc>
      </w:tr>
      <w:tr w14:paraId="37A1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6985F32B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356DEC9B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5D1085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332A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1C85012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3B975D22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07A90416">
            <w:pPr>
              <w:jc w:val="center"/>
              <w:rPr>
                <w:sz w:val="26"/>
                <w:szCs w:val="26"/>
              </w:rPr>
            </w:pPr>
          </w:p>
        </w:tc>
      </w:tr>
      <w:tr w14:paraId="2670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729C7C9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4A2111F5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5DC15485">
            <w:pPr>
              <w:jc w:val="center"/>
              <w:rPr>
                <w:sz w:val="26"/>
                <w:szCs w:val="26"/>
              </w:rPr>
            </w:pPr>
          </w:p>
        </w:tc>
      </w:tr>
      <w:tr w14:paraId="04FF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2248" w:type="dxa"/>
            <w:vMerge w:val="restart"/>
            <w:vAlign w:val="center"/>
          </w:tcPr>
          <w:p w14:paraId="6E4CA0D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53F539E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7E1BD9C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14:paraId="43ED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248" w:type="dxa"/>
            <w:vMerge w:val="continue"/>
            <w:vAlign w:val="center"/>
          </w:tcPr>
          <w:p w14:paraId="3107F137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7036A9FF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33B93C20">
            <w:pPr>
              <w:jc w:val="center"/>
              <w:rPr>
                <w:sz w:val="26"/>
                <w:szCs w:val="26"/>
              </w:rPr>
            </w:pPr>
          </w:p>
        </w:tc>
      </w:tr>
      <w:tr w14:paraId="58AC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248" w:type="dxa"/>
            <w:vMerge w:val="continue"/>
            <w:vAlign w:val="center"/>
          </w:tcPr>
          <w:p w14:paraId="5CD14FB2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1585D038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2AE4D51F">
            <w:pPr>
              <w:jc w:val="center"/>
              <w:rPr>
                <w:sz w:val="26"/>
                <w:szCs w:val="26"/>
              </w:rPr>
            </w:pPr>
          </w:p>
        </w:tc>
      </w:tr>
      <w:tr w14:paraId="5F81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2248" w:type="dxa"/>
            <w:vMerge w:val="restart"/>
            <w:vAlign w:val="center"/>
          </w:tcPr>
          <w:p w14:paraId="09D73B01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17FF2E52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74B4D2E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14:paraId="708B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2649850D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76F27C2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hint="eastAsia" w:ascii="仿宋_GB2312" w:hAnsi="仿宋_GB2312" w:cs="仿宋_GB2312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08349B63">
            <w:pPr>
              <w:jc w:val="center"/>
              <w:rPr>
                <w:sz w:val="26"/>
                <w:szCs w:val="26"/>
              </w:rPr>
            </w:pPr>
          </w:p>
        </w:tc>
      </w:tr>
      <w:tr w14:paraId="27F9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5286549C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hint="eastAsia" w:eastAsia="楷体_GB2312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14:paraId="355FB3C7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5B07E92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14:paraId="0A53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8" w:type="dxa"/>
            <w:vMerge w:val="continue"/>
            <w:vAlign w:val="center"/>
          </w:tcPr>
          <w:p w14:paraId="35C44A87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14:paraId="05E53183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295A50D9">
            <w:pPr>
              <w:jc w:val="center"/>
              <w:rPr>
                <w:sz w:val="26"/>
                <w:szCs w:val="26"/>
              </w:rPr>
            </w:pPr>
          </w:p>
        </w:tc>
      </w:tr>
      <w:tr w14:paraId="5D4F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299BEA7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14:paraId="30086CDF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14:paraId="185FEB0B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18A9127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7219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2AB5B273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eastAsia="黑体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14:paraId="59F0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30E1C441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731E7EC2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296A7A5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4B16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2266" w:type="dxa"/>
            <w:vAlign w:val="center"/>
          </w:tcPr>
          <w:p w14:paraId="719338C1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hint="eastAsia" w:eastAsia="楷体_GB2312"/>
                <w:sz w:val="26"/>
                <w:szCs w:val="26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479947DD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14:paraId="698889B5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3BA9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01FB103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hint="eastAsia" w:eastAsia="楷体_GB2312"/>
                <w:sz w:val="26"/>
                <w:szCs w:val="26"/>
              </w:rPr>
              <w:t>.教学展示</w:t>
            </w:r>
          </w:p>
        </w:tc>
        <w:tc>
          <w:tcPr>
            <w:tcW w:w="5411" w:type="dxa"/>
            <w:vAlign w:val="center"/>
          </w:tcPr>
          <w:p w14:paraId="0EC3088B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3AD43CA2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14:paraId="0FDC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2A79BAF1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14:paraId="1B7EC5F8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115D2C97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14:paraId="343F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670C704D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14:paraId="12A31237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75D0FA82">
            <w:pPr>
              <w:ind w:left="-160" w:leftChars="-50" w:right="-160" w:rightChars="-5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 w:eastAsia="宋体"/>
                <w:sz w:val="26"/>
                <w:szCs w:val="26"/>
              </w:rPr>
              <w:t>100</w:t>
            </w:r>
          </w:p>
        </w:tc>
      </w:tr>
    </w:tbl>
    <w:p w14:paraId="4BE6E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七、奖项设置</w:t>
      </w:r>
    </w:p>
    <w:p w14:paraId="6B224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14:paraId="0E146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30" w:lineRule="exact"/>
        <w:ind w:firstLine="640" w:firstLineChars="200"/>
        <w:textAlignment w:val="auto"/>
        <w:outlineLvl w:val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八、成果推广</w:t>
      </w:r>
    </w:p>
    <w:p w14:paraId="1E576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C88A96-DF89-45A9-A0DB-0BF7B77DB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11919F8-5A9E-46CC-9A25-5332E21C6D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FEAB25-1421-477B-AFD4-B62A8E6C84A3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A13B2AB-431B-4A2D-B8D6-708F191C73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3F78876-BEEC-4D80-B9E2-6A6B9E47AE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B83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9AF23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3A9AF23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0F1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6242B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AF517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3640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5100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03A84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2641</Words>
  <Characters>2758</Characters>
  <Lines>5</Lines>
  <Paragraphs>16</Paragraphs>
  <TotalTime>69</TotalTime>
  <ScaleCrop>false</ScaleCrop>
  <LinksUpToDate>false</LinksUpToDate>
  <CharactersWithSpaces>2763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Lan</cp:lastModifiedBy>
  <cp:lastPrinted>2025-10-13T17:04:00Z</cp:lastPrinted>
  <dcterms:modified xsi:type="dcterms:W3CDTF">2025-10-21T09:16:39Z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FFC243EBD068453BA4EF309E6D0AAAAA_13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